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1268B40B" w:rsidP="5709DF5A" w:rsidRDefault="1268B40B" w14:paraId="0BDF8BBF" w14:textId="3B29696B">
      <w:pPr>
        <w:pStyle w:val="Title"/>
        <w:rPr>
          <w:noProof w:val="0"/>
          <w:lang w:val="nl-NL"/>
        </w:rPr>
      </w:pPr>
      <w:r w:rsidRPr="5709DF5A" w:rsidR="1268B40B">
        <w:rPr>
          <w:noProof w:val="0"/>
          <w:lang w:val="nl-NL"/>
        </w:rPr>
        <w:t>Talige diversiteit</w:t>
      </w:r>
    </w:p>
    <w:p w:rsidR="3267B8EF" w:rsidP="5709DF5A" w:rsidRDefault="3267B8EF" w14:paraId="1B7BDFA0" w14:textId="4F96152A">
      <w:pPr>
        <w:spacing w:before="240" w:beforeAutospacing="off" w:after="240" w:afterAutospacing="off"/>
        <w:jc w:val="both"/>
      </w:pPr>
      <w:r w:rsidRPr="5709DF5A" w:rsidR="3267B8EF">
        <w:rPr>
          <w:rFonts w:ascii="Aptos" w:hAnsi="Aptos" w:eastAsia="Aptos" w:cs="Aptos"/>
          <w:noProof w:val="0"/>
          <w:sz w:val="24"/>
          <w:szCs w:val="24"/>
          <w:lang w:val="nl-NL"/>
        </w:rPr>
        <w:t xml:space="preserve">Talige diversiteit verwijst naar de aanwezigheid van verschillende talen en taalpraktijken in een samenleving of school. Binnen onderwijs gaat het daarbij niet alleen over welke talen kinderen spreken, maar ook over hoe scholen omgaan met verschillen in taalachtergrond en taalvaardigheid. Vanuit een onderwijskundig perspectief is vooral de vraag relevant welke concrete hefbomen onderwijs zelf in handen heeft om taalontwikkeling en leerkansen te versterken. Factoren zoals sociaaleconomische omstandigheden, kansenongelijkheid en de taalrijkheid van de thuiscontext spelen hierin een belangrijke rol. Hoewel scholen deze contextfactoren niet rechtstreeks kunnen sturen, kunnen ze er wel in de mate van het mogelijke op inspelen via hun didactische en pedagogische aanpak. Recent internationaal onderzoek benadrukt daarbij het belang van rijke interactie, expliciete taalsteun, hoge verwachtingen en samenwerking met gezinnen (OECD, 2026; </w:t>
      </w:r>
      <w:r w:rsidRPr="5709DF5A" w:rsidR="3267B8EF">
        <w:rPr>
          <w:rFonts w:ascii="Aptos" w:hAnsi="Aptos" w:eastAsia="Aptos" w:cs="Aptos"/>
          <w:noProof w:val="0"/>
          <w:sz w:val="24"/>
          <w:szCs w:val="24"/>
          <w:lang w:val="nl-NL"/>
        </w:rPr>
        <w:t>Denies</w:t>
      </w:r>
      <w:r w:rsidRPr="5709DF5A" w:rsidR="3267B8EF">
        <w:rPr>
          <w:rFonts w:ascii="Aptos" w:hAnsi="Aptos" w:eastAsia="Aptos" w:cs="Aptos"/>
          <w:noProof w:val="0"/>
          <w:sz w:val="24"/>
          <w:szCs w:val="24"/>
          <w:lang w:val="nl-NL"/>
        </w:rPr>
        <w:t xml:space="preserve"> et al., 2026; Van den Branden, 2010).</w:t>
      </w:r>
    </w:p>
    <w:p w:rsidR="3267B8EF" w:rsidP="5709DF5A" w:rsidRDefault="3267B8EF" w14:paraId="6C34D6C9" w14:textId="78DF2E1F">
      <w:pPr>
        <w:spacing w:before="240" w:beforeAutospacing="off" w:after="240" w:afterAutospacing="off"/>
        <w:jc w:val="both"/>
      </w:pPr>
      <w:r w:rsidRPr="5709DF5A" w:rsidR="3267B8EF">
        <w:rPr>
          <w:rFonts w:ascii="Aptos" w:hAnsi="Aptos" w:eastAsia="Aptos" w:cs="Aptos"/>
          <w:noProof w:val="0"/>
          <w:sz w:val="24"/>
          <w:szCs w:val="24"/>
          <w:lang w:val="nl-NL"/>
        </w:rPr>
        <w:t>Het erkennen van thuistalen en het belang van een uniforme schooltaal worden in de onderwijskundige literatuur niet als tegengestelden benaderd. In plaats daarvan wordt gekeken naar hoe talige voorkennis kan worden benut wanneer de thuistaal verschilt van de schooltaal. Daarbij ligt de nadruk op het functioneel inzetten van deze voorkennis in het leerproces, zonder dat dit impliceert dat het Nederlands wordt vervangen of dat alle thuistalen systematisch in de klaspraktijk worden gebruikt. Onderzoek naar functioneel meertalig leren beschrijft hoe thuistalen kunnen worden ingezet als ondersteuning bij leren en begrip, naast het verwerven van het Nederlands (Van Avermaet &amp; Sierens, 2010). Ook internationaal onderzoek stelt dat kennis en concepten die in een andere taal zijn opgebouwd kunnen bijdragen aan het leren van een nieuwe schooltaal (Cummins, 2000; Cummins, 2019; García &amp; Lin, 2023; Cenoz &amp; Gorter, 2021).</w:t>
      </w:r>
    </w:p>
    <w:p w:rsidR="3267B8EF" w:rsidP="5709DF5A" w:rsidRDefault="3267B8EF" w14:paraId="3F7A38E4" w14:textId="36A09112">
      <w:pPr>
        <w:spacing w:before="240" w:beforeAutospacing="off" w:after="240" w:afterAutospacing="off"/>
        <w:jc w:val="both"/>
      </w:pPr>
      <w:r w:rsidRPr="5709DF5A" w:rsidR="3267B8EF">
        <w:rPr>
          <w:rFonts w:ascii="Aptos" w:hAnsi="Aptos" w:eastAsia="Aptos" w:cs="Aptos"/>
          <w:noProof w:val="0"/>
          <w:sz w:val="24"/>
          <w:szCs w:val="24"/>
          <w:lang w:val="nl-NL"/>
        </w:rPr>
        <w:t>Dit kan zich vertalen in haalbare onderwijspraktijken zoals het activeren van voorkennis via de thuistaal, het zichtbaar maken van kernconcepten in meerdere talen, het betrekken van ouders bij themawerk of het laten vertrekken van leerlingen vanuit reeds verworven concepten. Tegelijk blijft een sterke beheersing van het Nederlands essentieel voor schoolsucces en maatschappelijke participatie. Onderzoek naar taal- en leesontwikkeling benadrukt daarbij het belang van woordenschatontwikkeling, rijke interactie, expliciete taalsteun en woordherkenning als bouwstenen voor schools leren (Van den Broeck, 2004; Hoff, 2020; Snow &amp; Uccelli, 2021; Castles et al., 2018).</w:t>
      </w:r>
    </w:p>
    <w:p w:rsidR="3267B8EF" w:rsidP="5709DF5A" w:rsidRDefault="3267B8EF" w14:paraId="657150B4" w14:textId="3A781435">
      <w:pPr>
        <w:spacing w:before="240" w:beforeAutospacing="off" w:after="240" w:afterAutospacing="off"/>
        <w:jc w:val="both"/>
      </w:pPr>
      <w:r w:rsidRPr="5709DF5A" w:rsidR="3267B8EF">
        <w:rPr>
          <w:rFonts w:ascii="Aptos" w:hAnsi="Aptos" w:eastAsia="Aptos" w:cs="Aptos"/>
          <w:noProof w:val="0"/>
          <w:sz w:val="24"/>
          <w:szCs w:val="24"/>
          <w:lang w:val="nl-NL"/>
        </w:rPr>
        <w:t xml:space="preserve">Daarnaast wijst recent onderzoek in meertalige en inclusieve onderwijscontexten erop dat het erkennen en waarderen van elementen uit de thuiscontext van leerlingen kan bijdragen aan het leerproces. Dit gaat verder dan het louter functioneel inzetten van voorkennis en vertrekt ook vanuit de erkenning van identiteit en culturele referentiekaders die leerlingen meebrengen naar de klas. Door aan te sluiten bij deze persoonlijke en sociale </w:t>
      </w:r>
      <w:r w:rsidRPr="5709DF5A" w:rsidR="0BCD8817">
        <w:rPr>
          <w:rFonts w:ascii="Aptos" w:hAnsi="Aptos" w:eastAsia="Aptos" w:cs="Aptos"/>
          <w:noProof w:val="0"/>
          <w:sz w:val="24"/>
          <w:szCs w:val="24"/>
          <w:lang w:val="nl-NL"/>
        </w:rPr>
        <w:t>‘</w:t>
      </w:r>
      <w:r w:rsidRPr="5709DF5A" w:rsidR="3267B8EF">
        <w:rPr>
          <w:rFonts w:ascii="Aptos" w:hAnsi="Aptos" w:eastAsia="Aptos" w:cs="Aptos"/>
          <w:noProof w:val="0"/>
          <w:sz w:val="24"/>
          <w:szCs w:val="24"/>
          <w:lang w:val="nl-NL"/>
        </w:rPr>
        <w:t xml:space="preserve">funds of </w:t>
      </w:r>
      <w:r w:rsidRPr="5709DF5A" w:rsidR="3267B8EF">
        <w:rPr>
          <w:rFonts w:ascii="Aptos" w:hAnsi="Aptos" w:eastAsia="Aptos" w:cs="Aptos"/>
          <w:noProof w:val="0"/>
          <w:sz w:val="24"/>
          <w:szCs w:val="24"/>
          <w:lang w:val="nl-NL"/>
        </w:rPr>
        <w:t>knowledge</w:t>
      </w:r>
      <w:r w:rsidRPr="5709DF5A" w:rsidR="3267B8EF">
        <w:rPr>
          <w:rFonts w:ascii="Aptos" w:hAnsi="Aptos" w:eastAsia="Aptos" w:cs="Aptos"/>
          <w:noProof w:val="0"/>
          <w:sz w:val="24"/>
          <w:szCs w:val="24"/>
          <w:lang w:val="nl-NL"/>
        </w:rPr>
        <w:t xml:space="preserve"> </w:t>
      </w:r>
      <w:r w:rsidRPr="5709DF5A" w:rsidR="3267B8EF">
        <w:rPr>
          <w:rFonts w:ascii="Aptos" w:hAnsi="Aptos" w:eastAsia="Aptos" w:cs="Aptos"/>
          <w:noProof w:val="0"/>
          <w:sz w:val="24"/>
          <w:szCs w:val="24"/>
          <w:lang w:val="nl-NL"/>
        </w:rPr>
        <w:t>and</w:t>
      </w:r>
      <w:r w:rsidRPr="5709DF5A" w:rsidR="3267B8EF">
        <w:rPr>
          <w:rFonts w:ascii="Aptos" w:hAnsi="Aptos" w:eastAsia="Aptos" w:cs="Aptos"/>
          <w:noProof w:val="0"/>
          <w:sz w:val="24"/>
          <w:szCs w:val="24"/>
          <w:lang w:val="nl-NL"/>
        </w:rPr>
        <w:t xml:space="preserve"> </w:t>
      </w:r>
      <w:r w:rsidRPr="5709DF5A" w:rsidR="3267B8EF">
        <w:rPr>
          <w:rFonts w:ascii="Aptos" w:hAnsi="Aptos" w:eastAsia="Aptos" w:cs="Aptos"/>
          <w:noProof w:val="0"/>
          <w:sz w:val="24"/>
          <w:szCs w:val="24"/>
          <w:lang w:val="nl-NL"/>
        </w:rPr>
        <w:t>identity</w:t>
      </w:r>
      <w:r w:rsidRPr="5709DF5A" w:rsidR="52FF1A7E">
        <w:rPr>
          <w:rFonts w:ascii="Aptos" w:hAnsi="Aptos" w:eastAsia="Aptos" w:cs="Aptos"/>
          <w:noProof w:val="0"/>
          <w:sz w:val="24"/>
          <w:szCs w:val="24"/>
          <w:lang w:val="nl-NL"/>
        </w:rPr>
        <w:t>’</w:t>
      </w:r>
      <w:r w:rsidRPr="5709DF5A" w:rsidR="3267B8EF">
        <w:rPr>
          <w:rFonts w:ascii="Aptos" w:hAnsi="Aptos" w:eastAsia="Aptos" w:cs="Aptos"/>
          <w:noProof w:val="0"/>
          <w:sz w:val="24"/>
          <w:szCs w:val="24"/>
          <w:lang w:val="nl-NL"/>
        </w:rPr>
        <w:t xml:space="preserve"> kunnen verbindingen worden gelegd met wat leerlingen al weten en kunnen, waardoor bestaande kennisstructuren worden geactiveerd en verder uitgebouwd. Dit ondersteunt het opbouwen van nieuwe kenniskaders en versterkt het leren in diverse klasgroepen (</w:t>
      </w:r>
      <w:r w:rsidRPr="5709DF5A" w:rsidR="3267B8EF">
        <w:rPr>
          <w:rFonts w:ascii="Aptos" w:hAnsi="Aptos" w:eastAsia="Aptos" w:cs="Aptos"/>
          <w:noProof w:val="0"/>
          <w:sz w:val="24"/>
          <w:szCs w:val="24"/>
          <w:lang w:val="nl-NL"/>
        </w:rPr>
        <w:t>Hogg</w:t>
      </w:r>
      <w:r w:rsidRPr="5709DF5A" w:rsidR="3267B8EF">
        <w:rPr>
          <w:rFonts w:ascii="Aptos" w:hAnsi="Aptos" w:eastAsia="Aptos" w:cs="Aptos"/>
          <w:noProof w:val="0"/>
          <w:sz w:val="24"/>
          <w:szCs w:val="24"/>
          <w:lang w:val="nl-NL"/>
        </w:rPr>
        <w:t xml:space="preserve"> &amp; </w:t>
      </w:r>
      <w:r w:rsidRPr="5709DF5A" w:rsidR="3267B8EF">
        <w:rPr>
          <w:rFonts w:ascii="Aptos" w:hAnsi="Aptos" w:eastAsia="Aptos" w:cs="Aptos"/>
          <w:noProof w:val="0"/>
          <w:sz w:val="24"/>
          <w:szCs w:val="24"/>
          <w:lang w:val="nl-NL"/>
        </w:rPr>
        <w:t>Volman</w:t>
      </w:r>
      <w:r w:rsidRPr="5709DF5A" w:rsidR="3267B8EF">
        <w:rPr>
          <w:rFonts w:ascii="Aptos" w:hAnsi="Aptos" w:eastAsia="Aptos" w:cs="Aptos"/>
          <w:noProof w:val="0"/>
          <w:sz w:val="24"/>
          <w:szCs w:val="24"/>
          <w:lang w:val="nl-NL"/>
        </w:rPr>
        <w:t>, 2020; Waddington &amp; Esteban-</w:t>
      </w:r>
      <w:r w:rsidRPr="5709DF5A" w:rsidR="3267B8EF">
        <w:rPr>
          <w:rFonts w:ascii="Aptos" w:hAnsi="Aptos" w:eastAsia="Aptos" w:cs="Aptos"/>
          <w:noProof w:val="0"/>
          <w:sz w:val="24"/>
          <w:szCs w:val="24"/>
          <w:lang w:val="nl-NL"/>
        </w:rPr>
        <w:t>Guitart</w:t>
      </w:r>
      <w:r w:rsidRPr="5709DF5A" w:rsidR="3267B8EF">
        <w:rPr>
          <w:rFonts w:ascii="Aptos" w:hAnsi="Aptos" w:eastAsia="Aptos" w:cs="Aptos"/>
          <w:noProof w:val="0"/>
          <w:sz w:val="24"/>
          <w:szCs w:val="24"/>
          <w:lang w:val="nl-NL"/>
        </w:rPr>
        <w:t>, 2024).</w:t>
      </w:r>
    </w:p>
    <w:p w:rsidR="3267B8EF" w:rsidP="5709DF5A" w:rsidRDefault="3267B8EF" w14:paraId="4C12B031" w14:textId="34A9E659">
      <w:pPr>
        <w:spacing w:before="240" w:beforeAutospacing="off" w:after="240" w:afterAutospacing="off"/>
        <w:jc w:val="both"/>
      </w:pPr>
      <w:r w:rsidRPr="5709DF5A" w:rsidR="3267B8EF">
        <w:rPr>
          <w:rFonts w:ascii="Aptos" w:hAnsi="Aptos" w:eastAsia="Aptos" w:cs="Aptos"/>
          <w:noProof w:val="0"/>
          <w:sz w:val="24"/>
          <w:szCs w:val="24"/>
          <w:lang w:val="nl-NL"/>
        </w:rPr>
        <w:t>Verschillende onderzoekers wijzen er bovendien op dat talen niet allemaal dezelfde maatschappelijke waardering krijgen. Sommige thuistalen worden sneller gezien als verrijkend, terwijl andere vaker geassocieerd worden met achterstand of problemen. Deze ongelijke waardering hangt samen met bredere maatschappelijke verwachtingen en vooroordelen, die ook invloed kunnen hebben op de kansen die kinderen krijgen binnen onderwijscontexten (Agirdag, 2018). Sociologisch onderzoek naar onderwijsongelijkheid toont bovendien aan dat verwachtingen en beeldvorming binnen scholen een belangrijke rol spelen in de ontwikkelingskansen van leerlingen (Van Houtte, 2020).</w:t>
      </w:r>
    </w:p>
    <w:p w:rsidR="3267B8EF" w:rsidP="5709DF5A" w:rsidRDefault="3267B8EF" w14:paraId="01159318" w14:textId="5F391CC3">
      <w:pPr>
        <w:spacing w:before="240" w:beforeAutospacing="off" w:after="240" w:afterAutospacing="off"/>
        <w:jc w:val="both"/>
      </w:pPr>
      <w:r w:rsidRPr="5709DF5A" w:rsidR="3267B8EF">
        <w:rPr>
          <w:rFonts w:ascii="Aptos" w:hAnsi="Aptos" w:eastAsia="Aptos" w:cs="Aptos"/>
          <w:noProof w:val="0"/>
          <w:sz w:val="24"/>
          <w:szCs w:val="24"/>
          <w:lang w:val="nl-NL"/>
        </w:rPr>
        <w:t xml:space="preserve">Tegelijk benadrukken internationale rapporten rond vroege ontwikkeling en onderwijs het belang van kwaliteitsvolle interactie, doelgerichte taalondersteuning en sterke pedagogische praktijken in de eerste levensjaren en het kleuteronderwijs. Deze bevindingen tonen dat taalontwikkeling nauw samenhangt met bredere cognitieve en socio-emotionele ontwikkeling, en dat kwaliteitsvol onderwijs hierin een cruciale rol speelt (OECD, 2026; </w:t>
      </w:r>
      <w:r w:rsidRPr="5709DF5A" w:rsidR="3267B8EF">
        <w:rPr>
          <w:rFonts w:ascii="Aptos" w:hAnsi="Aptos" w:eastAsia="Aptos" w:cs="Aptos"/>
          <w:noProof w:val="0"/>
          <w:sz w:val="24"/>
          <w:szCs w:val="24"/>
          <w:lang w:val="nl-NL"/>
        </w:rPr>
        <w:t>Denies</w:t>
      </w:r>
      <w:r w:rsidRPr="5709DF5A" w:rsidR="3267B8EF">
        <w:rPr>
          <w:rFonts w:ascii="Aptos" w:hAnsi="Aptos" w:eastAsia="Aptos" w:cs="Aptos"/>
          <w:noProof w:val="0"/>
          <w:sz w:val="24"/>
          <w:szCs w:val="24"/>
          <w:lang w:val="nl-NL"/>
        </w:rPr>
        <w:t xml:space="preserve"> et al., 2026). </w:t>
      </w:r>
    </w:p>
    <w:p w:rsidR="3267B8EF" w:rsidP="5709DF5A" w:rsidRDefault="3267B8EF" w14:paraId="55B19B32" w14:textId="23F9767A">
      <w:pPr>
        <w:spacing w:before="240" w:beforeAutospacing="off" w:after="240" w:afterAutospacing="off"/>
        <w:jc w:val="both"/>
        <w:rPr>
          <w:rFonts w:ascii="Aptos" w:hAnsi="Aptos" w:eastAsia="Aptos" w:cs="Aptos"/>
          <w:b w:val="1"/>
          <w:bCs w:val="1"/>
          <w:noProof w:val="0"/>
          <w:sz w:val="24"/>
          <w:szCs w:val="24"/>
          <w:lang w:val="nl-NL"/>
        </w:rPr>
      </w:pPr>
      <w:r w:rsidRPr="5709DF5A" w:rsidR="3267B8EF">
        <w:rPr>
          <w:rFonts w:ascii="Aptos" w:hAnsi="Aptos" w:eastAsia="Aptos" w:cs="Aptos"/>
          <w:b w:val="1"/>
          <w:bCs w:val="1"/>
          <w:noProof w:val="0"/>
          <w:sz w:val="24"/>
          <w:szCs w:val="24"/>
          <w:lang w:val="nl-NL"/>
        </w:rPr>
        <w:t>Vanuit een anti-bias perspectief betekent aandacht voor talige diversiteit dat scholen en leerkrachten zich bewust zijn van mogelijke vooroordelen tegenover bepaalde talen of taalachtergronden, en actief werken aan een inclusieve leeromgeving waarin alle kinderen zich erkend en ondersteund voelen. Dat houdt onder meer in dat talige diversiteit zichtbaar en bespreekbaar mag zijn, zonder daarbij het belang van een sterke beheersing van de schooltaal uit het oog te verliezen.</w:t>
      </w:r>
    </w:p>
    <w:p w:rsidR="63023DD4" w:rsidP="5709DF5A" w:rsidRDefault="63023DD4" w14:paraId="051EC3F1" w14:textId="3D9F0C21">
      <w:pPr>
        <w:pStyle w:val="Heading1"/>
        <w:spacing w:before="322" w:beforeAutospacing="off" w:after="322" w:afterAutospacing="off"/>
        <w:jc w:val="both"/>
      </w:pPr>
      <w:r w:rsidRPr="5709DF5A" w:rsidR="63023DD4">
        <w:rPr>
          <w:rFonts w:ascii="Aptos" w:hAnsi="Aptos" w:eastAsia="Aptos" w:cs="Aptos"/>
          <w:b w:val="1"/>
          <w:bCs w:val="1"/>
          <w:noProof w:val="0"/>
          <w:sz w:val="48"/>
          <w:szCs w:val="48"/>
          <w:lang w:val="nl-NL"/>
        </w:rPr>
        <w:t>B</w:t>
      </w:r>
      <w:r w:rsidRPr="5709DF5A" w:rsidR="3267B8EF">
        <w:rPr>
          <w:rFonts w:ascii="Aptos" w:hAnsi="Aptos" w:eastAsia="Aptos" w:cs="Aptos"/>
          <w:b w:val="1"/>
          <w:bCs w:val="1"/>
          <w:noProof w:val="0"/>
          <w:sz w:val="48"/>
          <w:szCs w:val="48"/>
          <w:lang w:val="nl-NL"/>
        </w:rPr>
        <w:t>ronnenlijst</w:t>
      </w:r>
    </w:p>
    <w:p w:rsidR="3267B8EF" w:rsidP="5709DF5A" w:rsidRDefault="3267B8EF" w14:paraId="7668591D" w14:textId="0A13BEEC">
      <w:pPr>
        <w:spacing w:before="240" w:beforeAutospacing="off" w:after="240" w:afterAutospacing="off"/>
        <w:jc w:val="both"/>
      </w:pPr>
      <w:r w:rsidRPr="5709DF5A" w:rsidR="3267B8EF">
        <w:rPr>
          <w:rFonts w:ascii="Aptos" w:hAnsi="Aptos" w:eastAsia="Aptos" w:cs="Aptos"/>
          <w:noProof w:val="0"/>
          <w:sz w:val="24"/>
          <w:szCs w:val="24"/>
          <w:lang w:val="nl-NL"/>
        </w:rPr>
        <w:t xml:space="preserve">Agirdag, O. (2018). </w:t>
      </w:r>
      <w:r w:rsidRPr="5709DF5A" w:rsidR="3267B8EF">
        <w:rPr>
          <w:rFonts w:ascii="Aptos" w:hAnsi="Aptos" w:eastAsia="Aptos" w:cs="Aptos"/>
          <w:i w:val="1"/>
          <w:iCs w:val="1"/>
          <w:noProof w:val="0"/>
          <w:sz w:val="24"/>
          <w:szCs w:val="24"/>
          <w:lang w:val="nl-NL"/>
        </w:rPr>
        <w:t>The impact of language ideologies on student outcomes in multilingual education</w:t>
      </w:r>
      <w:r w:rsidRPr="5709DF5A" w:rsidR="3267B8EF">
        <w:rPr>
          <w:rFonts w:ascii="Aptos" w:hAnsi="Aptos" w:eastAsia="Aptos" w:cs="Aptos"/>
          <w:noProof w:val="0"/>
          <w:sz w:val="24"/>
          <w:szCs w:val="24"/>
          <w:lang w:val="nl-NL"/>
        </w:rPr>
        <w:t>. Educational Research Review, 24, 1–15.</w:t>
      </w:r>
    </w:p>
    <w:p w:rsidR="3267B8EF" w:rsidP="5709DF5A" w:rsidRDefault="3267B8EF" w14:paraId="4A8C1571" w14:textId="7158D5F4">
      <w:pPr>
        <w:spacing w:before="240" w:beforeAutospacing="off" w:after="240" w:afterAutospacing="off"/>
        <w:jc w:val="both"/>
      </w:pPr>
      <w:r w:rsidRPr="5709DF5A" w:rsidR="3267B8EF">
        <w:rPr>
          <w:rFonts w:ascii="Aptos" w:hAnsi="Aptos" w:eastAsia="Aptos" w:cs="Aptos"/>
          <w:noProof w:val="0"/>
          <w:sz w:val="24"/>
          <w:szCs w:val="24"/>
          <w:lang w:val="nl-NL"/>
        </w:rPr>
        <w:t xml:space="preserve">Castles, A., Rastle, K., &amp; Nation, K. (2018). Ending the reading wars: Reading acquisition from novice to expert. </w:t>
      </w:r>
      <w:r w:rsidRPr="5709DF5A" w:rsidR="3267B8EF">
        <w:rPr>
          <w:rFonts w:ascii="Aptos" w:hAnsi="Aptos" w:eastAsia="Aptos" w:cs="Aptos"/>
          <w:i w:val="1"/>
          <w:iCs w:val="1"/>
          <w:noProof w:val="0"/>
          <w:sz w:val="24"/>
          <w:szCs w:val="24"/>
          <w:lang w:val="nl-NL"/>
        </w:rPr>
        <w:t>Psychological Science in the Public Interest, 19</w:t>
      </w:r>
      <w:r w:rsidRPr="5709DF5A" w:rsidR="3267B8EF">
        <w:rPr>
          <w:rFonts w:ascii="Aptos" w:hAnsi="Aptos" w:eastAsia="Aptos" w:cs="Aptos"/>
          <w:noProof w:val="0"/>
          <w:sz w:val="24"/>
          <w:szCs w:val="24"/>
          <w:lang w:val="nl-NL"/>
        </w:rPr>
        <w:t xml:space="preserve">(1), 5–51. </w:t>
      </w:r>
      <w:hyperlink r:id="Rb5d935ad72a84f69">
        <w:r w:rsidRPr="5709DF5A" w:rsidR="3267B8EF">
          <w:rPr>
            <w:rStyle w:val="Hyperlink"/>
            <w:rFonts w:ascii="Aptos" w:hAnsi="Aptos" w:eastAsia="Aptos" w:cs="Aptos"/>
            <w:noProof w:val="0"/>
            <w:sz w:val="24"/>
            <w:szCs w:val="24"/>
            <w:lang w:val="nl-NL"/>
          </w:rPr>
          <w:t>https://doi.org/10.1177/1529100618772271</w:t>
        </w:r>
      </w:hyperlink>
    </w:p>
    <w:p w:rsidR="3267B8EF" w:rsidP="5709DF5A" w:rsidRDefault="3267B8EF" w14:paraId="16FF91D3" w14:textId="7C986796">
      <w:pPr>
        <w:spacing w:before="240" w:beforeAutospacing="off" w:after="240" w:afterAutospacing="off"/>
        <w:jc w:val="both"/>
      </w:pPr>
      <w:r w:rsidRPr="5709DF5A" w:rsidR="3267B8EF">
        <w:rPr>
          <w:rFonts w:ascii="Aptos" w:hAnsi="Aptos" w:eastAsia="Aptos" w:cs="Aptos"/>
          <w:noProof w:val="0"/>
          <w:sz w:val="24"/>
          <w:szCs w:val="24"/>
          <w:lang w:val="nl-NL"/>
        </w:rPr>
        <w:t xml:space="preserve">Cenoz, J. (2017). Translanguaging in school contexts: International perspectives. </w:t>
      </w:r>
      <w:r w:rsidRPr="5709DF5A" w:rsidR="3267B8EF">
        <w:rPr>
          <w:rFonts w:ascii="Aptos" w:hAnsi="Aptos" w:eastAsia="Aptos" w:cs="Aptos"/>
          <w:i w:val="1"/>
          <w:iCs w:val="1"/>
          <w:noProof w:val="0"/>
          <w:sz w:val="24"/>
          <w:szCs w:val="24"/>
          <w:lang w:val="nl-NL"/>
        </w:rPr>
        <w:t>Journal of Language, Identity &amp; Education, 16</w:t>
      </w:r>
      <w:r w:rsidRPr="5709DF5A" w:rsidR="3267B8EF">
        <w:rPr>
          <w:rFonts w:ascii="Aptos" w:hAnsi="Aptos" w:eastAsia="Aptos" w:cs="Aptos"/>
          <w:noProof w:val="0"/>
          <w:sz w:val="24"/>
          <w:szCs w:val="24"/>
          <w:lang w:val="nl-NL"/>
        </w:rPr>
        <w:t>(4), 193–198.</w:t>
      </w:r>
    </w:p>
    <w:p w:rsidR="3267B8EF" w:rsidP="5709DF5A" w:rsidRDefault="3267B8EF" w14:paraId="4C91D98E" w14:textId="68B3377F">
      <w:pPr>
        <w:spacing w:before="240" w:beforeAutospacing="off" w:after="240" w:afterAutospacing="off"/>
        <w:jc w:val="both"/>
      </w:pPr>
      <w:r w:rsidRPr="5709DF5A" w:rsidR="3267B8EF">
        <w:rPr>
          <w:rFonts w:ascii="Aptos" w:hAnsi="Aptos" w:eastAsia="Aptos" w:cs="Aptos"/>
          <w:noProof w:val="0"/>
          <w:sz w:val="24"/>
          <w:szCs w:val="24"/>
          <w:lang w:val="nl-NL"/>
        </w:rPr>
        <w:t xml:space="preserve">Cenoz, J., &amp; Gorter, D. (2021). </w:t>
      </w:r>
      <w:r w:rsidRPr="5709DF5A" w:rsidR="3267B8EF">
        <w:rPr>
          <w:rFonts w:ascii="Aptos" w:hAnsi="Aptos" w:eastAsia="Aptos" w:cs="Aptos"/>
          <w:i w:val="1"/>
          <w:iCs w:val="1"/>
          <w:noProof w:val="0"/>
          <w:sz w:val="24"/>
          <w:szCs w:val="24"/>
          <w:lang w:val="nl-NL"/>
        </w:rPr>
        <w:t>Pedagogical translanguaging</w:t>
      </w:r>
      <w:r w:rsidRPr="5709DF5A" w:rsidR="3267B8EF">
        <w:rPr>
          <w:rFonts w:ascii="Aptos" w:hAnsi="Aptos" w:eastAsia="Aptos" w:cs="Aptos"/>
          <w:noProof w:val="0"/>
          <w:sz w:val="24"/>
          <w:szCs w:val="24"/>
          <w:lang w:val="nl-NL"/>
        </w:rPr>
        <w:t>. Cambridge University Press.</w:t>
      </w:r>
    </w:p>
    <w:p w:rsidR="3267B8EF" w:rsidP="5709DF5A" w:rsidRDefault="3267B8EF" w14:paraId="294CE3D7" w14:textId="4A251FA6">
      <w:pPr>
        <w:spacing w:before="240" w:beforeAutospacing="off" w:after="240" w:afterAutospacing="off"/>
        <w:jc w:val="both"/>
      </w:pPr>
      <w:r w:rsidRPr="5709DF5A" w:rsidR="3267B8EF">
        <w:rPr>
          <w:rFonts w:ascii="Aptos" w:hAnsi="Aptos" w:eastAsia="Aptos" w:cs="Aptos"/>
          <w:noProof w:val="0"/>
          <w:sz w:val="24"/>
          <w:szCs w:val="24"/>
          <w:lang w:val="nl-NL"/>
        </w:rPr>
        <w:t xml:space="preserve">Cummins, J. (2000). </w:t>
      </w:r>
      <w:r w:rsidRPr="5709DF5A" w:rsidR="3267B8EF">
        <w:rPr>
          <w:rFonts w:ascii="Aptos" w:hAnsi="Aptos" w:eastAsia="Aptos" w:cs="Aptos"/>
          <w:i w:val="1"/>
          <w:iCs w:val="1"/>
          <w:noProof w:val="0"/>
          <w:sz w:val="24"/>
          <w:szCs w:val="24"/>
          <w:lang w:val="nl-NL"/>
        </w:rPr>
        <w:t>Language, power and pedagogy: Bilingual children in the crossfire</w:t>
      </w:r>
      <w:r w:rsidRPr="5709DF5A" w:rsidR="3267B8EF">
        <w:rPr>
          <w:rFonts w:ascii="Aptos" w:hAnsi="Aptos" w:eastAsia="Aptos" w:cs="Aptos"/>
          <w:noProof w:val="0"/>
          <w:sz w:val="24"/>
          <w:szCs w:val="24"/>
          <w:lang w:val="nl-NL"/>
        </w:rPr>
        <w:t>. Multilingual Matters.</w:t>
      </w:r>
    </w:p>
    <w:p w:rsidR="3267B8EF" w:rsidP="5709DF5A" w:rsidRDefault="3267B8EF" w14:paraId="2AA35719" w14:textId="6AA80E0E">
      <w:pPr>
        <w:spacing w:before="240" w:beforeAutospacing="off" w:after="240" w:afterAutospacing="off"/>
        <w:jc w:val="both"/>
      </w:pPr>
      <w:r w:rsidRPr="5709DF5A" w:rsidR="3267B8EF">
        <w:rPr>
          <w:rFonts w:ascii="Aptos" w:hAnsi="Aptos" w:eastAsia="Aptos" w:cs="Aptos"/>
          <w:noProof w:val="0"/>
          <w:sz w:val="24"/>
          <w:szCs w:val="24"/>
          <w:lang w:val="nl-NL"/>
        </w:rPr>
        <w:t xml:space="preserve">Cummins, J. (2019). </w:t>
      </w:r>
      <w:r w:rsidRPr="5709DF5A" w:rsidR="3267B8EF">
        <w:rPr>
          <w:rFonts w:ascii="Aptos" w:hAnsi="Aptos" w:eastAsia="Aptos" w:cs="Aptos"/>
          <w:i w:val="1"/>
          <w:iCs w:val="1"/>
          <w:noProof w:val="0"/>
          <w:sz w:val="24"/>
          <w:szCs w:val="24"/>
          <w:lang w:val="nl-NL"/>
        </w:rPr>
        <w:t>Rethinking the education of multilingual learners</w:t>
      </w:r>
      <w:r w:rsidRPr="5709DF5A" w:rsidR="3267B8EF">
        <w:rPr>
          <w:rFonts w:ascii="Aptos" w:hAnsi="Aptos" w:eastAsia="Aptos" w:cs="Aptos"/>
          <w:noProof w:val="0"/>
          <w:sz w:val="24"/>
          <w:szCs w:val="24"/>
          <w:lang w:val="nl-NL"/>
        </w:rPr>
        <w:t>. Multilingual Matters.</w:t>
      </w:r>
    </w:p>
    <w:p w:rsidR="3267B8EF" w:rsidP="5709DF5A" w:rsidRDefault="3267B8EF" w14:paraId="3A17EDC0" w14:textId="56BE2065">
      <w:pPr>
        <w:spacing w:before="240" w:beforeAutospacing="off" w:after="240" w:afterAutospacing="off"/>
        <w:jc w:val="both"/>
      </w:pPr>
      <w:r w:rsidRPr="5709DF5A" w:rsidR="3267B8EF">
        <w:rPr>
          <w:rFonts w:ascii="Aptos" w:hAnsi="Aptos" w:eastAsia="Aptos" w:cs="Aptos"/>
          <w:noProof w:val="0"/>
          <w:sz w:val="24"/>
          <w:szCs w:val="24"/>
          <w:lang w:val="nl-NL"/>
        </w:rPr>
        <w:t xml:space="preserve">Denies, K., et al. (2026). </w:t>
      </w:r>
      <w:r w:rsidRPr="5709DF5A" w:rsidR="3267B8EF">
        <w:rPr>
          <w:rFonts w:ascii="Aptos" w:hAnsi="Aptos" w:eastAsia="Aptos" w:cs="Aptos"/>
          <w:i w:val="1"/>
          <w:iCs w:val="1"/>
          <w:noProof w:val="0"/>
          <w:sz w:val="24"/>
          <w:szCs w:val="24"/>
          <w:lang w:val="nl-NL"/>
        </w:rPr>
        <w:t>[Exact titel nog te vervolledigen]</w:t>
      </w:r>
      <w:r w:rsidRPr="5709DF5A" w:rsidR="3267B8EF">
        <w:rPr>
          <w:rFonts w:ascii="Aptos" w:hAnsi="Aptos" w:eastAsia="Aptos" w:cs="Aptos"/>
          <w:noProof w:val="0"/>
          <w:sz w:val="24"/>
          <w:szCs w:val="24"/>
          <w:lang w:val="nl-NL"/>
        </w:rPr>
        <w:t>.</w:t>
      </w:r>
    </w:p>
    <w:p w:rsidR="3267B8EF" w:rsidP="5709DF5A" w:rsidRDefault="3267B8EF" w14:paraId="21279400" w14:textId="3E84D78D">
      <w:pPr>
        <w:spacing w:before="240" w:beforeAutospacing="off" w:after="240" w:afterAutospacing="off"/>
        <w:jc w:val="both"/>
      </w:pPr>
      <w:r w:rsidRPr="5709DF5A" w:rsidR="3267B8EF">
        <w:rPr>
          <w:rFonts w:ascii="Aptos" w:hAnsi="Aptos" w:eastAsia="Aptos" w:cs="Aptos"/>
          <w:noProof w:val="0"/>
          <w:sz w:val="24"/>
          <w:szCs w:val="24"/>
          <w:lang w:val="nl-NL"/>
        </w:rPr>
        <w:t xml:space="preserve">García, O., &amp; Lin, A. M. Y. (2023). Translanguaging and bilingual education. In O. García &amp; A. M. Y. Lin (Eds.), </w:t>
      </w:r>
      <w:r w:rsidRPr="5709DF5A" w:rsidR="3267B8EF">
        <w:rPr>
          <w:rFonts w:ascii="Aptos" w:hAnsi="Aptos" w:eastAsia="Aptos" w:cs="Aptos"/>
          <w:i w:val="1"/>
          <w:iCs w:val="1"/>
          <w:noProof w:val="0"/>
          <w:sz w:val="24"/>
          <w:szCs w:val="24"/>
          <w:lang w:val="nl-NL"/>
        </w:rPr>
        <w:t>The Routledge handbook of bilingual education</w:t>
      </w:r>
      <w:r w:rsidRPr="5709DF5A" w:rsidR="3267B8EF">
        <w:rPr>
          <w:rFonts w:ascii="Aptos" w:hAnsi="Aptos" w:eastAsia="Aptos" w:cs="Aptos"/>
          <w:noProof w:val="0"/>
          <w:sz w:val="24"/>
          <w:szCs w:val="24"/>
          <w:lang w:val="nl-NL"/>
        </w:rPr>
        <w:t>. Routledge.</w:t>
      </w:r>
    </w:p>
    <w:p w:rsidR="3267B8EF" w:rsidP="5709DF5A" w:rsidRDefault="3267B8EF" w14:paraId="279331C4" w14:textId="2FDC2764">
      <w:pPr>
        <w:spacing w:before="240" w:beforeAutospacing="off" w:after="240" w:afterAutospacing="off"/>
        <w:jc w:val="both"/>
      </w:pPr>
      <w:r w:rsidRPr="5709DF5A" w:rsidR="3267B8EF">
        <w:rPr>
          <w:rFonts w:ascii="Aptos" w:hAnsi="Aptos" w:eastAsia="Aptos" w:cs="Aptos"/>
          <w:noProof w:val="0"/>
          <w:sz w:val="24"/>
          <w:szCs w:val="24"/>
          <w:lang w:val="nl-NL"/>
        </w:rPr>
        <w:t xml:space="preserve">Hoff, E. (2020). </w:t>
      </w:r>
      <w:r w:rsidRPr="5709DF5A" w:rsidR="3267B8EF">
        <w:rPr>
          <w:rFonts w:ascii="Aptos" w:hAnsi="Aptos" w:eastAsia="Aptos" w:cs="Aptos"/>
          <w:i w:val="1"/>
          <w:iCs w:val="1"/>
          <w:noProof w:val="0"/>
          <w:sz w:val="24"/>
          <w:szCs w:val="24"/>
          <w:lang w:val="nl-NL"/>
        </w:rPr>
        <w:t>Language development</w:t>
      </w:r>
      <w:r w:rsidRPr="5709DF5A" w:rsidR="3267B8EF">
        <w:rPr>
          <w:rFonts w:ascii="Aptos" w:hAnsi="Aptos" w:eastAsia="Aptos" w:cs="Aptos"/>
          <w:noProof w:val="0"/>
          <w:sz w:val="24"/>
          <w:szCs w:val="24"/>
          <w:lang w:val="nl-NL"/>
        </w:rPr>
        <w:t xml:space="preserve"> (6th ed.). Cengage Learning.</w:t>
      </w:r>
    </w:p>
    <w:p w:rsidR="3267B8EF" w:rsidP="5709DF5A" w:rsidRDefault="3267B8EF" w14:paraId="503C1865" w14:textId="20F9F3FB">
      <w:pPr>
        <w:spacing w:before="240" w:beforeAutospacing="off" w:after="240" w:afterAutospacing="off"/>
        <w:jc w:val="both"/>
      </w:pPr>
      <w:r w:rsidRPr="5709DF5A" w:rsidR="3267B8EF">
        <w:rPr>
          <w:rFonts w:ascii="Aptos" w:hAnsi="Aptos" w:eastAsia="Aptos" w:cs="Aptos"/>
          <w:noProof w:val="0"/>
          <w:sz w:val="24"/>
          <w:szCs w:val="24"/>
          <w:lang w:val="nl-NL"/>
        </w:rPr>
        <w:t xml:space="preserve">Hogg, L., &amp; Volman, M. (2020). A synthesis of funds of knowledge research: Opportunities and directions for schools. </w:t>
      </w:r>
      <w:r w:rsidRPr="5709DF5A" w:rsidR="3267B8EF">
        <w:rPr>
          <w:rFonts w:ascii="Aptos" w:hAnsi="Aptos" w:eastAsia="Aptos" w:cs="Aptos"/>
          <w:i w:val="1"/>
          <w:iCs w:val="1"/>
          <w:noProof w:val="0"/>
          <w:sz w:val="24"/>
          <w:szCs w:val="24"/>
          <w:lang w:val="nl-NL"/>
        </w:rPr>
        <w:t>Review of Educational Research, 90</w:t>
      </w:r>
      <w:r w:rsidRPr="5709DF5A" w:rsidR="3267B8EF">
        <w:rPr>
          <w:rFonts w:ascii="Aptos" w:hAnsi="Aptos" w:eastAsia="Aptos" w:cs="Aptos"/>
          <w:noProof w:val="0"/>
          <w:sz w:val="24"/>
          <w:szCs w:val="24"/>
          <w:lang w:val="nl-NL"/>
        </w:rPr>
        <w:t xml:space="preserve">(2), 167–206. </w:t>
      </w:r>
      <w:hyperlink r:id="Rda4b93b2e5bf4008">
        <w:r w:rsidRPr="5709DF5A" w:rsidR="3267B8EF">
          <w:rPr>
            <w:rStyle w:val="Hyperlink"/>
            <w:rFonts w:ascii="Aptos" w:hAnsi="Aptos" w:eastAsia="Aptos" w:cs="Aptos"/>
            <w:noProof w:val="0"/>
            <w:sz w:val="24"/>
            <w:szCs w:val="24"/>
            <w:lang w:val="nl-NL"/>
          </w:rPr>
          <w:t>https://doi.org/10.3102/0034654320964205</w:t>
        </w:r>
      </w:hyperlink>
    </w:p>
    <w:p w:rsidR="3267B8EF" w:rsidP="5709DF5A" w:rsidRDefault="3267B8EF" w14:paraId="489371AB" w14:textId="6B523137">
      <w:pPr>
        <w:spacing w:before="240" w:beforeAutospacing="off" w:after="240" w:afterAutospacing="off"/>
        <w:jc w:val="both"/>
      </w:pPr>
      <w:r w:rsidRPr="5709DF5A" w:rsidR="3267B8EF">
        <w:rPr>
          <w:rFonts w:ascii="Aptos" w:hAnsi="Aptos" w:eastAsia="Aptos" w:cs="Aptos"/>
          <w:noProof w:val="0"/>
          <w:sz w:val="24"/>
          <w:szCs w:val="24"/>
          <w:lang w:val="nl-NL"/>
        </w:rPr>
        <w:t xml:space="preserve">OECD. (2026). </w:t>
      </w:r>
      <w:r w:rsidRPr="5709DF5A" w:rsidR="3267B8EF">
        <w:rPr>
          <w:rFonts w:ascii="Aptos" w:hAnsi="Aptos" w:eastAsia="Aptos" w:cs="Aptos"/>
          <w:i w:val="1"/>
          <w:iCs w:val="1"/>
          <w:noProof w:val="0"/>
          <w:sz w:val="24"/>
          <w:szCs w:val="24"/>
          <w:lang w:val="nl-NL"/>
        </w:rPr>
        <w:t>[IELS / Starting Strong rapport – titel te vervolledigen]</w:t>
      </w:r>
      <w:r w:rsidRPr="5709DF5A" w:rsidR="3267B8EF">
        <w:rPr>
          <w:rFonts w:ascii="Aptos" w:hAnsi="Aptos" w:eastAsia="Aptos" w:cs="Aptos"/>
          <w:noProof w:val="0"/>
          <w:sz w:val="24"/>
          <w:szCs w:val="24"/>
          <w:lang w:val="nl-NL"/>
        </w:rPr>
        <w:t>.</w:t>
      </w:r>
    </w:p>
    <w:p w:rsidR="3267B8EF" w:rsidP="5709DF5A" w:rsidRDefault="3267B8EF" w14:paraId="36ACC4E5" w14:textId="18F877C6">
      <w:pPr>
        <w:spacing w:before="240" w:beforeAutospacing="off" w:after="240" w:afterAutospacing="off"/>
        <w:jc w:val="both"/>
      </w:pPr>
      <w:r w:rsidRPr="5709DF5A" w:rsidR="3267B8EF">
        <w:rPr>
          <w:rFonts w:ascii="Aptos" w:hAnsi="Aptos" w:eastAsia="Aptos" w:cs="Aptos"/>
          <w:noProof w:val="0"/>
          <w:sz w:val="24"/>
          <w:szCs w:val="24"/>
          <w:lang w:val="nl-NL"/>
        </w:rPr>
        <w:t xml:space="preserve">Snow, C. E., &amp; Uccelli, P. (2021). Academic language and disciplinary literacy. In D. Dickerson (Ed.), </w:t>
      </w:r>
      <w:r w:rsidRPr="5709DF5A" w:rsidR="3267B8EF">
        <w:rPr>
          <w:rFonts w:ascii="Aptos" w:hAnsi="Aptos" w:eastAsia="Aptos" w:cs="Aptos"/>
          <w:i w:val="1"/>
          <w:iCs w:val="1"/>
          <w:noProof w:val="0"/>
          <w:sz w:val="24"/>
          <w:szCs w:val="24"/>
          <w:lang w:val="nl-NL"/>
        </w:rPr>
        <w:t>Handbook of language development</w:t>
      </w:r>
      <w:r w:rsidRPr="5709DF5A" w:rsidR="3267B8EF">
        <w:rPr>
          <w:rFonts w:ascii="Aptos" w:hAnsi="Aptos" w:eastAsia="Aptos" w:cs="Aptos"/>
          <w:noProof w:val="0"/>
          <w:sz w:val="24"/>
          <w:szCs w:val="24"/>
          <w:lang w:val="nl-NL"/>
        </w:rPr>
        <w:t>. Wiley.</w:t>
      </w:r>
    </w:p>
    <w:p w:rsidR="3267B8EF" w:rsidP="5709DF5A" w:rsidRDefault="3267B8EF" w14:paraId="5906CAF4" w14:textId="1D9896C5">
      <w:pPr>
        <w:spacing w:before="240" w:beforeAutospacing="off" w:after="240" w:afterAutospacing="off"/>
        <w:jc w:val="both"/>
      </w:pPr>
      <w:r w:rsidRPr="5709DF5A" w:rsidR="3267B8EF">
        <w:rPr>
          <w:rFonts w:ascii="Aptos" w:hAnsi="Aptos" w:eastAsia="Aptos" w:cs="Aptos"/>
          <w:noProof w:val="0"/>
          <w:sz w:val="24"/>
          <w:szCs w:val="24"/>
          <w:lang w:val="nl-NL"/>
        </w:rPr>
        <w:t xml:space="preserve">Van Avermaet, P., &amp; Sierens, S. (2010). </w:t>
      </w:r>
      <w:r w:rsidRPr="5709DF5A" w:rsidR="3267B8EF">
        <w:rPr>
          <w:rFonts w:ascii="Aptos" w:hAnsi="Aptos" w:eastAsia="Aptos" w:cs="Aptos"/>
          <w:i w:val="1"/>
          <w:iCs w:val="1"/>
          <w:noProof w:val="0"/>
          <w:sz w:val="24"/>
          <w:szCs w:val="24"/>
          <w:lang w:val="nl-NL"/>
        </w:rPr>
        <w:t>[Functioneel meertalig leren – titel te vervolledigen]</w:t>
      </w:r>
      <w:r w:rsidRPr="5709DF5A" w:rsidR="3267B8EF">
        <w:rPr>
          <w:rFonts w:ascii="Aptos" w:hAnsi="Aptos" w:eastAsia="Aptos" w:cs="Aptos"/>
          <w:noProof w:val="0"/>
          <w:sz w:val="24"/>
          <w:szCs w:val="24"/>
          <w:lang w:val="nl-NL"/>
        </w:rPr>
        <w:t>.</w:t>
      </w:r>
    </w:p>
    <w:p w:rsidR="3267B8EF" w:rsidP="5709DF5A" w:rsidRDefault="3267B8EF" w14:paraId="31EA8F88" w14:textId="2FF7D04F">
      <w:pPr>
        <w:spacing w:before="240" w:beforeAutospacing="off" w:after="240" w:afterAutospacing="off"/>
        <w:jc w:val="both"/>
      </w:pPr>
      <w:r w:rsidRPr="5709DF5A" w:rsidR="3267B8EF">
        <w:rPr>
          <w:rFonts w:ascii="Aptos" w:hAnsi="Aptos" w:eastAsia="Aptos" w:cs="Aptos"/>
          <w:noProof w:val="0"/>
          <w:sz w:val="24"/>
          <w:szCs w:val="24"/>
          <w:lang w:val="nl-NL"/>
        </w:rPr>
        <w:t xml:space="preserve">Van den Branden, K. (2010). </w:t>
      </w:r>
      <w:r w:rsidRPr="5709DF5A" w:rsidR="3267B8EF">
        <w:rPr>
          <w:rFonts w:ascii="Aptos" w:hAnsi="Aptos" w:eastAsia="Aptos" w:cs="Aptos"/>
          <w:i w:val="1"/>
          <w:iCs w:val="1"/>
          <w:noProof w:val="0"/>
          <w:sz w:val="24"/>
          <w:szCs w:val="24"/>
          <w:lang w:val="nl-NL"/>
        </w:rPr>
        <w:t>[Taalontwikkelend lesgeven – titel te vervolledigen]</w:t>
      </w:r>
      <w:r w:rsidRPr="5709DF5A" w:rsidR="3267B8EF">
        <w:rPr>
          <w:rFonts w:ascii="Aptos" w:hAnsi="Aptos" w:eastAsia="Aptos" w:cs="Aptos"/>
          <w:noProof w:val="0"/>
          <w:sz w:val="24"/>
          <w:szCs w:val="24"/>
          <w:lang w:val="nl-NL"/>
        </w:rPr>
        <w:t>.</w:t>
      </w:r>
    </w:p>
    <w:p w:rsidR="3267B8EF" w:rsidP="5709DF5A" w:rsidRDefault="3267B8EF" w14:paraId="5A803F1E" w14:textId="17AEF7DB">
      <w:pPr>
        <w:spacing w:before="240" w:beforeAutospacing="off" w:after="240" w:afterAutospacing="off"/>
        <w:jc w:val="both"/>
      </w:pPr>
      <w:r w:rsidRPr="5709DF5A" w:rsidR="3267B8EF">
        <w:rPr>
          <w:rFonts w:ascii="Aptos" w:hAnsi="Aptos" w:eastAsia="Aptos" w:cs="Aptos"/>
          <w:noProof w:val="0"/>
          <w:sz w:val="24"/>
          <w:szCs w:val="24"/>
          <w:lang w:val="nl-NL"/>
        </w:rPr>
        <w:t xml:space="preserve">Van den Broeck, W. (2004). </w:t>
      </w:r>
      <w:r w:rsidRPr="5709DF5A" w:rsidR="3267B8EF">
        <w:rPr>
          <w:rFonts w:ascii="Aptos" w:hAnsi="Aptos" w:eastAsia="Aptos" w:cs="Aptos"/>
          <w:i w:val="1"/>
          <w:iCs w:val="1"/>
          <w:noProof w:val="0"/>
          <w:sz w:val="24"/>
          <w:szCs w:val="24"/>
          <w:lang w:val="nl-NL"/>
        </w:rPr>
        <w:t>[Lees- en taalontwikkeling – titel te vervolledigen]</w:t>
      </w:r>
      <w:r w:rsidRPr="5709DF5A" w:rsidR="3267B8EF">
        <w:rPr>
          <w:rFonts w:ascii="Aptos" w:hAnsi="Aptos" w:eastAsia="Aptos" w:cs="Aptos"/>
          <w:noProof w:val="0"/>
          <w:sz w:val="24"/>
          <w:szCs w:val="24"/>
          <w:lang w:val="nl-NL"/>
        </w:rPr>
        <w:t>.</w:t>
      </w:r>
    </w:p>
    <w:p w:rsidR="3267B8EF" w:rsidP="5709DF5A" w:rsidRDefault="3267B8EF" w14:paraId="5E21EF63" w14:textId="6242BD44">
      <w:pPr>
        <w:spacing w:before="240" w:beforeAutospacing="off" w:after="240" w:afterAutospacing="off"/>
        <w:jc w:val="both"/>
      </w:pPr>
      <w:r w:rsidRPr="5709DF5A" w:rsidR="3267B8EF">
        <w:rPr>
          <w:rFonts w:ascii="Aptos" w:hAnsi="Aptos" w:eastAsia="Aptos" w:cs="Aptos"/>
          <w:noProof w:val="0"/>
          <w:sz w:val="24"/>
          <w:szCs w:val="24"/>
          <w:lang w:val="nl-NL"/>
        </w:rPr>
        <w:t xml:space="preserve">Van Houtte, M. (2020). </w:t>
      </w:r>
      <w:r w:rsidRPr="5709DF5A" w:rsidR="3267B8EF">
        <w:rPr>
          <w:rFonts w:ascii="Aptos" w:hAnsi="Aptos" w:eastAsia="Aptos" w:cs="Aptos"/>
          <w:i w:val="1"/>
          <w:iCs w:val="1"/>
          <w:noProof w:val="0"/>
          <w:sz w:val="24"/>
          <w:szCs w:val="24"/>
          <w:lang w:val="nl-NL"/>
        </w:rPr>
        <w:t>[Onderwijsongelijkheid en verwachtingen – titel te vervolledigen]</w:t>
      </w:r>
      <w:r w:rsidRPr="5709DF5A" w:rsidR="3267B8EF">
        <w:rPr>
          <w:rFonts w:ascii="Aptos" w:hAnsi="Aptos" w:eastAsia="Aptos" w:cs="Aptos"/>
          <w:noProof w:val="0"/>
          <w:sz w:val="24"/>
          <w:szCs w:val="24"/>
          <w:lang w:val="nl-NL"/>
        </w:rPr>
        <w:t>.</w:t>
      </w:r>
    </w:p>
    <w:p w:rsidR="3267B8EF" w:rsidP="5709DF5A" w:rsidRDefault="3267B8EF" w14:paraId="6B691A87" w14:textId="7FD902CF">
      <w:pPr>
        <w:spacing w:before="240" w:beforeAutospacing="off" w:after="240" w:afterAutospacing="off"/>
        <w:jc w:val="both"/>
      </w:pPr>
      <w:r w:rsidRPr="5709DF5A" w:rsidR="3267B8EF">
        <w:rPr>
          <w:rFonts w:ascii="Aptos" w:hAnsi="Aptos" w:eastAsia="Aptos" w:cs="Aptos"/>
          <w:noProof w:val="0"/>
          <w:sz w:val="24"/>
          <w:szCs w:val="24"/>
          <w:lang w:val="nl-NL"/>
        </w:rPr>
        <w:t xml:space="preserve">Waddington, D., &amp; Esteban-Guitart, M. (2024). Funds of identity and education: Linking home, school and community for learning. </w:t>
      </w:r>
      <w:r w:rsidRPr="5709DF5A" w:rsidR="3267B8EF">
        <w:rPr>
          <w:rFonts w:ascii="Aptos" w:hAnsi="Aptos" w:eastAsia="Aptos" w:cs="Aptos"/>
          <w:i w:val="1"/>
          <w:iCs w:val="1"/>
          <w:noProof w:val="0"/>
          <w:sz w:val="24"/>
          <w:szCs w:val="24"/>
          <w:lang w:val="nl-NL"/>
        </w:rPr>
        <w:t>Educational Research Review, 41</w:t>
      </w:r>
      <w:r w:rsidRPr="5709DF5A" w:rsidR="3267B8EF">
        <w:rPr>
          <w:rFonts w:ascii="Aptos" w:hAnsi="Aptos" w:eastAsia="Aptos" w:cs="Aptos"/>
          <w:noProof w:val="0"/>
          <w:sz w:val="24"/>
          <w:szCs w:val="24"/>
          <w:lang w:val="nl-NL"/>
        </w:rPr>
        <w:t xml:space="preserve">, 100578. </w:t>
      </w:r>
      <w:hyperlink r:id="Ra9a2f84d2bb54429">
        <w:r w:rsidRPr="5709DF5A" w:rsidR="3267B8EF">
          <w:rPr>
            <w:rStyle w:val="Hyperlink"/>
            <w:rFonts w:ascii="Aptos" w:hAnsi="Aptos" w:eastAsia="Aptos" w:cs="Aptos"/>
            <w:noProof w:val="0"/>
            <w:sz w:val="24"/>
            <w:szCs w:val="24"/>
            <w:lang w:val="nl-NL"/>
          </w:rPr>
          <w:t>https://doi.org/10.1016/j.edurev.2023.100578</w:t>
        </w:r>
      </w:hyperlink>
    </w:p>
    <w:p w:rsidR="5709DF5A" w:rsidP="5709DF5A" w:rsidRDefault="5709DF5A" w14:paraId="7898D54B" w14:textId="51D80AE1">
      <w:pPr>
        <w:jc w:val="both"/>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6A0A3C"/>
    <w:rsid w:val="00BBAD8A"/>
    <w:rsid w:val="02466888"/>
    <w:rsid w:val="03BC8439"/>
    <w:rsid w:val="04032BE4"/>
    <w:rsid w:val="0BCD8817"/>
    <w:rsid w:val="12189009"/>
    <w:rsid w:val="1268B40B"/>
    <w:rsid w:val="155BCD69"/>
    <w:rsid w:val="2E025B72"/>
    <w:rsid w:val="2F7AE7D8"/>
    <w:rsid w:val="3267B8EF"/>
    <w:rsid w:val="3732DD0A"/>
    <w:rsid w:val="3E612ED4"/>
    <w:rsid w:val="3F4F48FB"/>
    <w:rsid w:val="4048F78C"/>
    <w:rsid w:val="436A0A3C"/>
    <w:rsid w:val="46F002F3"/>
    <w:rsid w:val="5103D18C"/>
    <w:rsid w:val="52FF1A7E"/>
    <w:rsid w:val="53AE9FE0"/>
    <w:rsid w:val="5709DF5A"/>
    <w:rsid w:val="63023DD4"/>
    <w:rsid w:val="6698E436"/>
    <w:rsid w:val="7D1840CD"/>
    <w:rsid w:val="7EE6CC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44221"/>
  <w15:chartTrackingRefBased/>
  <w15:docId w15:val="{8938D7EC-ABE1-4A59-875E-6BE5DDAE81B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02466888"/>
    <w:rPr>
      <w:color w:val="467886"/>
      <w:u w:val="single"/>
    </w:rPr>
  </w:style>
  <w:style w:type="paragraph" w:styleId="Heading2">
    <w:uiPriority w:val="9"/>
    <w:name w:val="heading 2"/>
    <w:basedOn w:val="Normal"/>
    <w:next w:val="Normal"/>
    <w:unhideWhenUsed/>
    <w:qFormat/>
    <w:rsid w:val="5709DF5A"/>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Title">
    <w:uiPriority w:val="10"/>
    <w:name w:val="Title"/>
    <w:basedOn w:val="Normal"/>
    <w:next w:val="Normal"/>
    <w:qFormat/>
    <w:rsid w:val="5709DF5A"/>
    <w:rPr>
      <w:rFonts w:ascii="Aptos Display" w:hAnsi="Aptos Display" w:eastAsia="" w:cs="" w:asciiTheme="majorAscii" w:hAnsiTheme="majorAscii" w:eastAsiaTheme="majorEastAsia" w:cstheme="majorBidi"/>
      <w:sz w:val="56"/>
      <w:szCs w:val="56"/>
    </w:rPr>
    <w:pPr>
      <w:spacing w:after="80" w:line="240" w:lineRule="auto"/>
      <w:contextualSpacing/>
    </w:pPr>
  </w:style>
  <w:style w:type="paragraph" w:styleId="Heading1">
    <w:uiPriority w:val="9"/>
    <w:name w:val="heading 1"/>
    <w:basedOn w:val="Normal"/>
    <w:next w:val="Normal"/>
    <w:qFormat/>
    <w:rsid w:val="5709DF5A"/>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doi.org/10.1177/1529100618772271" TargetMode="External" Id="Rb5d935ad72a84f69" /><Relationship Type="http://schemas.openxmlformats.org/officeDocument/2006/relationships/hyperlink" Target="https://doi.org/10.3102/0034654320964205" TargetMode="External" Id="Rda4b93b2e5bf4008" /><Relationship Type="http://schemas.openxmlformats.org/officeDocument/2006/relationships/hyperlink" Target="https://doi.org/10.1016/j.edurev.2023.100578" TargetMode="External" Id="Ra9a2f84d2bb5442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2E5BA76E372B4FADC60F613C14AF0A" ma:contentTypeVersion="16" ma:contentTypeDescription="Een nieuw document maken." ma:contentTypeScope="" ma:versionID="8f7279d10b283c553d615a0c920e13eb">
  <xsd:schema xmlns:xsd="http://www.w3.org/2001/XMLSchema" xmlns:xs="http://www.w3.org/2001/XMLSchema" xmlns:p="http://schemas.microsoft.com/office/2006/metadata/properties" xmlns:ns2="16628470-ca72-4086-90d2-73855beb6ade" xmlns:ns3="481bbc75-0821-4cb2-bd43-4e40ed73b0ec" targetNamespace="http://schemas.microsoft.com/office/2006/metadata/properties" ma:root="true" ma:fieldsID="e9de36457e24447f8e3be52e5b7b780e" ns2:_="" ns3:_="">
    <xsd:import namespace="16628470-ca72-4086-90d2-73855beb6ade"/>
    <xsd:import namespace="481bbc75-0821-4cb2-bd43-4e40ed73b0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628470-ca72-4086-90d2-73855beb6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bc83cbe-60d4-4732-8759-e77f608a3e2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1bbc75-0821-4cb2-bd43-4e40ed73b0e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55144b5-cfe3-44e5-9f13-61cec911fc92}" ma:internalName="TaxCatchAll" ma:showField="CatchAllData" ma:web="481bbc75-0821-4cb2-bd43-4e40ed73b0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81bbc75-0821-4cb2-bd43-4e40ed73b0ec" xsi:nil="true"/>
    <lcf76f155ced4ddcb4097134ff3c332f xmlns="16628470-ca72-4086-90d2-73855beb6a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C54E37-C638-4623-92ED-70BC992E3313}"/>
</file>

<file path=customXml/itemProps2.xml><?xml version="1.0" encoding="utf-8"?>
<ds:datastoreItem xmlns:ds="http://schemas.openxmlformats.org/officeDocument/2006/customXml" ds:itemID="{601FFB07-9A03-42D5-A17B-194FDF4CD2EA}"/>
</file>

<file path=customXml/itemProps3.xml><?xml version="1.0" encoding="utf-8"?>
<ds:datastoreItem xmlns:ds="http://schemas.openxmlformats.org/officeDocument/2006/customXml" ds:itemID="{0E3F7881-A36E-49AA-9F3B-628B90B758D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Ferbuyt Nick</dc:creator>
  <cp:keywords/>
  <dc:description/>
  <cp:lastModifiedBy>Ferbuyt Nick</cp:lastModifiedBy>
  <dcterms:created xsi:type="dcterms:W3CDTF">2026-05-12T14:31:07Z</dcterms:created>
  <dcterms:modified xsi:type="dcterms:W3CDTF">2026-05-12T15:07:09Z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0x010100E22E5BA76E372B4FADC60F613C14AF0A</vt:lpwstr>
  </property>
  <property fmtid="{D5CDD505-2E9C-101B-9397-08002B2CF9AE}" pid="3" name="MediaServiceImageTags">
    <vt:lpwstr/>
  </property>
</Properties>
</file>